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5F2" w:rsidRPr="006A15F2" w:rsidRDefault="006A15F2" w:rsidP="006A15F2">
      <w:pPr>
        <w:jc w:val="center"/>
        <w:rPr>
          <w:b/>
        </w:rPr>
      </w:pPr>
      <w:r w:rsidRPr="006A15F2">
        <w:rPr>
          <w:rFonts w:hint="eastAsia"/>
          <w:b/>
        </w:rPr>
        <w:t>研究短文</w:t>
      </w:r>
      <w:r w:rsidRPr="006A15F2">
        <w:rPr>
          <w:rFonts w:hint="eastAsia"/>
          <w:b/>
        </w:rPr>
        <w:t>(Re</w:t>
      </w:r>
      <w:r w:rsidRPr="006A15F2">
        <w:rPr>
          <w:b/>
        </w:rPr>
        <w:t>search Note)</w:t>
      </w:r>
    </w:p>
    <w:p w:rsidR="006A15F2" w:rsidRPr="006A15F2" w:rsidRDefault="00055AA2" w:rsidP="006A15F2">
      <w:pPr>
        <w:jc w:val="center"/>
        <w:rPr>
          <w:u w:val="single"/>
        </w:rPr>
      </w:pPr>
      <w:r>
        <w:rPr>
          <w:rFonts w:hint="eastAsia"/>
          <w:u w:val="single"/>
        </w:rPr>
        <w:t>半導體</w:t>
      </w:r>
      <w:proofErr w:type="gramStart"/>
      <w:r w:rsidR="005B0624">
        <w:rPr>
          <w:rFonts w:hint="eastAsia"/>
          <w:u w:val="single"/>
        </w:rPr>
        <w:t>通膨</w:t>
      </w:r>
      <w:r>
        <w:rPr>
          <w:rFonts w:hint="eastAsia"/>
          <w:u w:val="single"/>
        </w:rPr>
        <w:t>避險</w:t>
      </w:r>
      <w:proofErr w:type="gramEnd"/>
      <w:r>
        <w:rPr>
          <w:rFonts w:hint="eastAsia"/>
          <w:u w:val="single"/>
        </w:rPr>
        <w:t>策略</w:t>
      </w:r>
      <w:r w:rsidR="00CB63B4">
        <w:rPr>
          <w:rFonts w:hint="eastAsia"/>
          <w:u w:val="single"/>
        </w:rPr>
        <w:t xml:space="preserve">: </w:t>
      </w:r>
      <w:r w:rsidR="00CB63B4">
        <w:rPr>
          <w:rFonts w:hint="eastAsia"/>
          <w:u w:val="single"/>
        </w:rPr>
        <w:t>以先進製程產能與良率為對應資產的追蹤股票設計</w:t>
      </w:r>
    </w:p>
    <w:p w:rsidR="006A15F2" w:rsidRDefault="006A15F2" w:rsidP="006A15F2">
      <w:pPr>
        <w:jc w:val="center"/>
      </w:pPr>
      <w:r>
        <w:rPr>
          <w:rFonts w:hint="eastAsia"/>
        </w:rPr>
        <w:t>(</w:t>
      </w:r>
      <w:r w:rsidR="00CB63B4">
        <w:rPr>
          <w:rFonts w:hint="eastAsia"/>
        </w:rPr>
        <w:t>He</w:t>
      </w:r>
      <w:r w:rsidR="00CB63B4">
        <w:t xml:space="preserve">dge Strategy for Semiconductor Inflation: Design of Tracking Stocks with Advanced Production </w:t>
      </w:r>
      <w:r w:rsidR="0083753C">
        <w:rPr>
          <w:rFonts w:hint="eastAsia"/>
        </w:rPr>
        <w:t>Ca</w:t>
      </w:r>
      <w:r w:rsidR="0083753C">
        <w:t>pacity</w:t>
      </w:r>
      <w:r w:rsidR="00CB63B4">
        <w:t xml:space="preserve"> and Yield Rate as Underlying Assets</w:t>
      </w:r>
      <w:r>
        <w:t>)</w:t>
      </w:r>
    </w:p>
    <w:p w:rsidR="006A15F2" w:rsidRDefault="006A15F2" w:rsidP="006A15F2">
      <w:pPr>
        <w:jc w:val="center"/>
      </w:pPr>
    </w:p>
    <w:p w:rsidR="006A15F2" w:rsidRDefault="006A15F2" w:rsidP="006A15F2">
      <w:pPr>
        <w:jc w:val="center"/>
      </w:pPr>
      <w:r>
        <w:rPr>
          <w:rFonts w:hint="eastAsia"/>
        </w:rPr>
        <w:t>邱宏仁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</w:p>
    <w:p w:rsidR="00F737C0" w:rsidRDefault="006A15F2" w:rsidP="00F737C0">
      <w:pPr>
        <w:jc w:val="center"/>
        <w:rPr>
          <w:rFonts w:hint="eastAsia"/>
        </w:rPr>
      </w:pPr>
      <w:r>
        <w:rPr>
          <w:rFonts w:hint="eastAsia"/>
        </w:rPr>
        <w:t>台灣大學國企系</w:t>
      </w:r>
    </w:p>
    <w:p w:rsidR="006A15F2" w:rsidRDefault="006A15F2" w:rsidP="006A15F2">
      <w:pPr>
        <w:jc w:val="center"/>
      </w:pPr>
      <w:r>
        <w:rPr>
          <w:rFonts w:hint="eastAsia"/>
        </w:rPr>
        <w:t>Ap</w:t>
      </w:r>
      <w:r>
        <w:t>ril 1</w:t>
      </w:r>
      <w:r w:rsidR="005B0624">
        <w:t>4</w:t>
      </w:r>
      <w:r>
        <w:t>, 2024</w:t>
      </w:r>
    </w:p>
    <w:p w:rsidR="002E43E3" w:rsidRDefault="002E43E3" w:rsidP="002E43E3"/>
    <w:p w:rsidR="005B0624" w:rsidRDefault="005B0624" w:rsidP="002E43E3"/>
    <w:p w:rsidR="00A65D90" w:rsidRDefault="00CB63B4" w:rsidP="00CB63B4">
      <w:pPr>
        <w:ind w:firstLine="480"/>
      </w:pPr>
      <w:r w:rsidRPr="00A47DC9">
        <w:rPr>
          <w:rFonts w:hint="eastAsia"/>
        </w:rPr>
        <w:t>每</w:t>
      </w:r>
      <w:proofErr w:type="gramStart"/>
      <w:r w:rsidRPr="00A47DC9">
        <w:rPr>
          <w:rFonts w:hint="eastAsia"/>
        </w:rPr>
        <w:t>個</w:t>
      </w:r>
      <w:proofErr w:type="gramEnd"/>
      <w:r w:rsidRPr="00A47DC9">
        <w:rPr>
          <w:rFonts w:hint="eastAsia"/>
        </w:rPr>
        <w:t>波段的半導體產業大榮景</w:t>
      </w:r>
      <w:r w:rsidRPr="00A47DC9">
        <w:rPr>
          <w:rFonts w:hint="eastAsia"/>
        </w:rPr>
        <w:t xml:space="preserve">, </w:t>
      </w:r>
      <w:r w:rsidRPr="00A47DC9">
        <w:rPr>
          <w:rFonts w:hint="eastAsia"/>
        </w:rPr>
        <w:t>都是建立在科技創新與應用受到高度矚目</w:t>
      </w:r>
      <w:r w:rsidRPr="00A47DC9">
        <w:rPr>
          <w:rFonts w:hint="eastAsia"/>
        </w:rPr>
        <w:t xml:space="preserve">, </w:t>
      </w:r>
      <w:r w:rsidRPr="00A47DC9">
        <w:rPr>
          <w:rFonts w:hint="eastAsia"/>
        </w:rPr>
        <w:t>但有些真得提升產業的生產力</w:t>
      </w:r>
      <w:r w:rsidRPr="00A47DC9">
        <w:rPr>
          <w:rFonts w:hint="eastAsia"/>
        </w:rPr>
        <w:t xml:space="preserve">. </w:t>
      </w:r>
      <w:r w:rsidRPr="00A47DC9">
        <w:rPr>
          <w:rFonts w:hint="eastAsia"/>
        </w:rPr>
        <w:t>廠商的績效</w:t>
      </w:r>
      <w:r w:rsidRPr="00A47DC9">
        <w:rPr>
          <w:rFonts w:hint="eastAsia"/>
        </w:rPr>
        <w:t xml:space="preserve">. </w:t>
      </w:r>
      <w:r w:rsidRPr="00A47DC9">
        <w:rPr>
          <w:rFonts w:hint="eastAsia"/>
        </w:rPr>
        <w:t>使用者的效率</w:t>
      </w:r>
      <w:r w:rsidRPr="00A47DC9">
        <w:rPr>
          <w:rFonts w:hint="eastAsia"/>
        </w:rPr>
        <w:t xml:space="preserve">, </w:t>
      </w:r>
      <w:r w:rsidRPr="00A47DC9">
        <w:rPr>
          <w:rFonts w:hint="eastAsia"/>
        </w:rPr>
        <w:t>但有些卻是陷入消費者的採用鴻溝</w:t>
      </w:r>
      <w:r w:rsidRPr="00A47DC9">
        <w:rPr>
          <w:rFonts w:hint="eastAsia"/>
        </w:rPr>
        <w:t>(Chasm)</w:t>
      </w:r>
      <w:r w:rsidRPr="00A47DC9">
        <w:rPr>
          <w:rFonts w:hint="eastAsia"/>
        </w:rPr>
        <w:t>中</w:t>
      </w:r>
      <w:r w:rsidRPr="00A47DC9">
        <w:rPr>
          <w:rFonts w:hint="eastAsia"/>
        </w:rPr>
        <w:t xml:space="preserve">, </w:t>
      </w:r>
      <w:r w:rsidRPr="00A47DC9">
        <w:rPr>
          <w:rFonts w:hint="eastAsia"/>
        </w:rPr>
        <w:t>難以形成主流的市場趨勢</w:t>
      </w:r>
      <w:r w:rsidRPr="00A47DC9">
        <w:rPr>
          <w:rFonts w:hint="eastAsia"/>
        </w:rPr>
        <w:t xml:space="preserve">. </w:t>
      </w:r>
    </w:p>
    <w:p w:rsidR="00A65D90" w:rsidRDefault="00A65D90" w:rsidP="00CB63B4">
      <w:pPr>
        <w:ind w:firstLine="480"/>
      </w:pPr>
    </w:p>
    <w:p w:rsidR="00A65D90" w:rsidRDefault="00CB63B4" w:rsidP="00A65D90">
      <w:pPr>
        <w:widowControl/>
        <w:ind w:firstLine="480"/>
        <w:rPr>
          <w:rFonts w:ascii="inherit" w:eastAsia="新細明體" w:hAnsi="inherit" w:cs="新細明體"/>
          <w:kern w:val="0"/>
          <w:szCs w:val="24"/>
        </w:rPr>
      </w:pPr>
      <w:r w:rsidRPr="00A47DC9">
        <w:rPr>
          <w:rFonts w:hint="eastAsia"/>
        </w:rPr>
        <w:t>當前</w:t>
      </w:r>
      <w:r w:rsidRPr="00A47DC9">
        <w:rPr>
          <w:rFonts w:hint="eastAsia"/>
        </w:rPr>
        <w:t>AI</w:t>
      </w:r>
      <w:r w:rsidRPr="00A47DC9">
        <w:rPr>
          <w:rFonts w:hint="eastAsia"/>
        </w:rPr>
        <w:t>所驅動的半導體先進製程</w:t>
      </w:r>
      <w:r w:rsidRPr="00A47DC9">
        <w:rPr>
          <w:rFonts w:hint="eastAsia"/>
        </w:rPr>
        <w:t>. GPU</w:t>
      </w:r>
      <w:r w:rsidRPr="00A47DC9">
        <w:rPr>
          <w:rFonts w:hint="eastAsia"/>
        </w:rPr>
        <w:t>的硬體風潮中</w:t>
      </w:r>
      <w:r w:rsidRPr="00A47DC9">
        <w:rPr>
          <w:rFonts w:hint="eastAsia"/>
        </w:rPr>
        <w:t xml:space="preserve">, </w:t>
      </w:r>
      <w:r w:rsidRPr="00A47DC9">
        <w:rPr>
          <w:rFonts w:hint="eastAsia"/>
        </w:rPr>
        <w:t>還沒落實到消費端</w:t>
      </w:r>
      <w:r w:rsidRPr="00A47DC9">
        <w:rPr>
          <w:rFonts w:hint="eastAsia"/>
        </w:rPr>
        <w:t xml:space="preserve"> -- </w:t>
      </w:r>
      <w:r w:rsidRPr="00A47DC9">
        <w:rPr>
          <w:rFonts w:hint="eastAsia"/>
        </w:rPr>
        <w:t>因受制於通膨壓力</w:t>
      </w:r>
      <w:r w:rsidRPr="00A47DC9">
        <w:rPr>
          <w:rFonts w:hint="eastAsia"/>
        </w:rPr>
        <w:t xml:space="preserve"> -- </w:t>
      </w:r>
      <w:r w:rsidRPr="00A47DC9">
        <w:rPr>
          <w:rFonts w:hint="eastAsia"/>
        </w:rPr>
        <w:t>卻已令科技產品大幅調高售價</w:t>
      </w:r>
      <w:r>
        <w:rPr>
          <w:rFonts w:hint="eastAsia"/>
        </w:rPr>
        <w:t>.</w:t>
      </w:r>
      <w:r w:rsidR="00A65D90">
        <w:t xml:space="preserve"> </w:t>
      </w:r>
      <w:r w:rsidR="00A65D90">
        <w:rPr>
          <w:rFonts w:hint="eastAsia"/>
        </w:rPr>
        <w:t>然而</w:t>
      </w:r>
      <w:r w:rsidR="00A65D90">
        <w:rPr>
          <w:rFonts w:hint="eastAsia"/>
        </w:rPr>
        <w:t xml:space="preserve">,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AI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演算法建立在大規模的數據預訓練上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,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費時</w:t>
      </w:r>
      <w:proofErr w:type="gramStart"/>
      <w:r w:rsidR="00A65D90" w:rsidRPr="005B0624">
        <w:rPr>
          <w:rFonts w:ascii="inherit" w:eastAsia="新細明體" w:hAnsi="inherit" w:cs="新細明體"/>
          <w:kern w:val="0"/>
          <w:szCs w:val="24"/>
        </w:rPr>
        <w:t>耗電且花</w:t>
      </w:r>
      <w:proofErr w:type="gramEnd"/>
      <w:r w:rsidR="00A65D90" w:rsidRPr="005B0624">
        <w:rPr>
          <w:rFonts w:ascii="inherit" w:eastAsia="新細明體" w:hAnsi="inherit" w:cs="新細明體"/>
          <w:kern w:val="0"/>
          <w:szCs w:val="24"/>
        </w:rPr>
        <w:t>大錢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;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且自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2017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年生成型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AI"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的奠基之作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 -- "All You Need Is Attention"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論文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 --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發表後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,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深度學習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.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機器學習領域的技術創新變慢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, </w:t>
      </w:r>
      <w:proofErr w:type="gramStart"/>
      <w:r w:rsidR="00A65D90" w:rsidRPr="005B0624">
        <w:rPr>
          <w:rFonts w:ascii="inherit" w:eastAsia="新細明體" w:hAnsi="inherit" w:cs="新細明體"/>
          <w:kern w:val="0"/>
          <w:szCs w:val="24"/>
        </w:rPr>
        <w:t>不</w:t>
      </w:r>
      <w:proofErr w:type="gramEnd"/>
      <w:r w:rsidR="00A65D90" w:rsidRPr="005B0624">
        <w:rPr>
          <w:rFonts w:ascii="inherit" w:eastAsia="新細明體" w:hAnsi="inherit" w:cs="新細明體"/>
          <w:kern w:val="0"/>
          <w:szCs w:val="24"/>
        </w:rPr>
        <w:t>環保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(</w:t>
      </w:r>
      <w:proofErr w:type="gramStart"/>
      <w:r w:rsidR="00A65D90" w:rsidRPr="005B0624">
        <w:rPr>
          <w:rFonts w:ascii="inherit" w:eastAsia="新細明體" w:hAnsi="inherit" w:cs="新細明體"/>
          <w:kern w:val="0"/>
          <w:szCs w:val="24"/>
        </w:rPr>
        <w:t>算力與</w:t>
      </w:r>
      <w:proofErr w:type="gramEnd"/>
      <w:r w:rsidR="00A65D90" w:rsidRPr="005B0624">
        <w:rPr>
          <w:rFonts w:ascii="inherit" w:eastAsia="新細明體" w:hAnsi="inherit" w:cs="新細明體"/>
          <w:kern w:val="0"/>
          <w:szCs w:val="24"/>
        </w:rPr>
        <w:t>消耗電力成正比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).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也不符合社會公平正義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(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取代職場弱勢工作者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 xml:space="preserve">) -- 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這才是半導體通膨</w:t>
      </w:r>
      <w:r w:rsidR="00A65D90">
        <w:rPr>
          <w:rFonts w:ascii="inherit" w:eastAsia="新細明體" w:hAnsi="inherit" w:cs="新細明體" w:hint="eastAsia"/>
          <w:kern w:val="0"/>
          <w:szCs w:val="24"/>
        </w:rPr>
        <w:t>(Se</w:t>
      </w:r>
      <w:r w:rsidR="00A65D90">
        <w:rPr>
          <w:rFonts w:ascii="inherit" w:eastAsia="新細明體" w:hAnsi="inherit" w:cs="新細明體"/>
          <w:kern w:val="0"/>
          <w:szCs w:val="24"/>
        </w:rPr>
        <w:t>miconductor Inflation)</w:t>
      </w:r>
      <w:r w:rsidR="00A65D90" w:rsidRPr="005B0624">
        <w:rPr>
          <w:rFonts w:ascii="inherit" w:eastAsia="新細明體" w:hAnsi="inherit" w:cs="新細明體"/>
          <w:kern w:val="0"/>
          <w:szCs w:val="24"/>
        </w:rPr>
        <w:t>的核心問題所在</w:t>
      </w:r>
      <w:r w:rsidR="00A65D90">
        <w:rPr>
          <w:rFonts w:ascii="inherit" w:eastAsia="新細明體" w:hAnsi="inherit" w:cs="新細明體" w:hint="eastAsia"/>
          <w:kern w:val="0"/>
          <w:szCs w:val="24"/>
        </w:rPr>
        <w:t>.</w:t>
      </w:r>
    </w:p>
    <w:p w:rsidR="00CB63B4" w:rsidRPr="00A65D90" w:rsidRDefault="00CB63B4" w:rsidP="00A65D90"/>
    <w:p w:rsidR="00DE546B" w:rsidRDefault="00CB63B4" w:rsidP="00CB63B4">
      <w:pPr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hint="eastAsia"/>
        </w:rPr>
        <w:t>倘</w:t>
      </w:r>
      <w:r w:rsidRPr="00A47DC9">
        <w:rPr>
          <w:rFonts w:hint="eastAsia"/>
        </w:rPr>
        <w:t>若這個</w:t>
      </w:r>
      <w:r w:rsidR="00A65D90">
        <w:rPr>
          <w:rFonts w:hint="eastAsia"/>
        </w:rPr>
        <w:t>本波由</w:t>
      </w:r>
      <w:r w:rsidR="00A65D90">
        <w:rPr>
          <w:rFonts w:hint="eastAsia"/>
        </w:rPr>
        <w:t>AI</w:t>
      </w:r>
      <w:r w:rsidR="00A65D90">
        <w:rPr>
          <w:rFonts w:hint="eastAsia"/>
        </w:rPr>
        <w:t>驅動的半導體硬體</w:t>
      </w:r>
      <w:r w:rsidRPr="00A47DC9">
        <w:rPr>
          <w:rFonts w:hint="eastAsia"/>
        </w:rPr>
        <w:t>泡沫破裂</w:t>
      </w:r>
      <w:r w:rsidRPr="00A47DC9">
        <w:rPr>
          <w:rFonts w:hint="eastAsia"/>
        </w:rPr>
        <w:t xml:space="preserve">, </w:t>
      </w:r>
      <w:r w:rsidRPr="00A47DC9">
        <w:rPr>
          <w:rFonts w:hint="eastAsia"/>
        </w:rPr>
        <w:t>類股投資者受到重創外</w:t>
      </w:r>
      <w:r w:rsidRPr="00A47DC9">
        <w:rPr>
          <w:rFonts w:hint="eastAsia"/>
        </w:rPr>
        <w:t xml:space="preserve">, </w:t>
      </w:r>
      <w:r w:rsidRPr="00A47DC9">
        <w:rPr>
          <w:rFonts w:hint="eastAsia"/>
        </w:rPr>
        <w:t>成本推動型</w:t>
      </w:r>
      <w:r>
        <w:rPr>
          <w:rFonts w:hint="eastAsia"/>
        </w:rPr>
        <w:t>(</w:t>
      </w:r>
      <w:r>
        <w:t>Cost Push)</w:t>
      </w:r>
      <w:r w:rsidRPr="00A47DC9">
        <w:rPr>
          <w:rFonts w:hint="eastAsia"/>
        </w:rPr>
        <w:t>通膨將一發不可收拾</w:t>
      </w:r>
      <w:r w:rsidRPr="00A47DC9">
        <w:rPr>
          <w:rFonts w:hint="eastAsia"/>
        </w:rPr>
        <w:t>.</w:t>
      </w:r>
      <w:r>
        <w:rPr>
          <w:rFonts w:hint="eastAsia"/>
          <w:b/>
        </w:rPr>
        <w:t xml:space="preserve">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那麼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半導體通膨可否避險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?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本文擬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從台灣曾力推的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DRAM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期貨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,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來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探索可能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的避險策略及商品設計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.</w:t>
      </w:r>
    </w:p>
    <w:p w:rsidR="00DE546B" w:rsidRDefault="00DE546B" w:rsidP="00962A37">
      <w:pPr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962A37" w:rsidRDefault="00962A37" w:rsidP="00962A37">
      <w:pPr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47558FA">
            <wp:extent cx="3218180" cy="1721922"/>
            <wp:effectExtent l="0" t="0" r="127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673" cy="1742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A37" w:rsidRDefault="00962A37" w:rsidP="00962A37">
      <w:pP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CB63B4" w:rsidRPr="00CB63B4" w:rsidRDefault="00CB63B4" w:rsidP="00DE546B">
      <w:pPr>
        <w:ind w:firstLine="480"/>
        <w:rPr>
          <w:b/>
        </w:rPr>
      </w:pP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2022-23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是記憶體產業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去庫存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",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業績慘澹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因所面對來自手機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 PC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的終端需求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在通膨制約下疲弱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而伺服器在記憶體需求</w:t>
      </w:r>
      <w:proofErr w:type="gramStart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佔</w:t>
      </w:r>
      <w:proofErr w:type="gramEnd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比只有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10%,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也無法大幅受惠於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AI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浪潮</w:t>
      </w:r>
      <w:r w:rsidR="00DE546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.</w:t>
      </w:r>
      <w:r w:rsidR="00DE546B">
        <w:rPr>
          <w:rFonts w:hint="eastAsia"/>
          <w:b/>
        </w:rPr>
        <w:t xml:space="preserve">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倘若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半導體通膨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是現在進行式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那麼有無避險的管道或工具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?</w:t>
      </w:r>
    </w:p>
    <w:p w:rsidR="00DE546B" w:rsidRDefault="00DE546B" w:rsidP="00CB63B4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DE546B" w:rsidRDefault="00CB63B4" w:rsidP="00DE546B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lastRenderedPageBreak/>
        <w:t>思路之一是回到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2000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年左右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台灣產學人士曾力推的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DRAM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期貨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但因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DRAM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產品無法標準化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而作罷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但這只是冰山一角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:</w:t>
      </w:r>
      <w:r w:rsidR="00DE546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問題不在標準化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因可透過分級來分別訂價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就如咖啡有分為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Arabica. Robusta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兩主要等級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</w:p>
    <w:p w:rsidR="00DE546B" w:rsidRDefault="00DE546B" w:rsidP="00DE546B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CB63B4" w:rsidRPr="00CB63B4" w:rsidRDefault="00CB63B4" w:rsidP="00DE546B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DRAM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訂價的核心難題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在於該產品並非如金銀銅鐵等金屬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深埋在地底礦脈中</w:t>
      </w:r>
      <w:r w:rsidR="00DE546B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  <w:r w:rsidR="00DE546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礦商</w:t>
      </w:r>
      <w:proofErr w:type="gramStart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不</w:t>
      </w:r>
      <w:proofErr w:type="gramEnd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挖出這些金屬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proofErr w:type="gramStart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其財報</w:t>
      </w:r>
      <w:proofErr w:type="gramEnd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就不受相關金屬市場價格變動的影響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而這些礦藏具有探</w:t>
      </w:r>
      <w:proofErr w:type="gramStart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勘</w:t>
      </w:r>
      <w:proofErr w:type="gramEnd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時所評定的</w:t>
      </w:r>
      <w:proofErr w:type="gramStart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數量與估值</w:t>
      </w:r>
      <w:proofErr w:type="gramEnd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因此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行情好</w:t>
      </w:r>
      <w:proofErr w:type="gramStart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時礦商</w:t>
      </w:r>
      <w:proofErr w:type="gramEnd"/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有誘因增加供給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故礦藏開採權有所謂的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實質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資產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選擇權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"(Real-Options)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的價值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  <w:r w:rsidR="00DE546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DRAM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未生產完成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沒有價值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而生產出來但未售出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CB63B4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在業者的財報上就列為庫存</w:t>
      </w:r>
      <w:r w:rsidR="00DE546B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</w:p>
    <w:p w:rsidR="005B0624" w:rsidRDefault="005B0624" w:rsidP="008F2382">
      <w:pPr>
        <w:widowControl/>
        <w:rPr>
          <w:rFonts w:ascii="inherit" w:eastAsia="新細明體" w:hAnsi="inherit" w:cs="新細明體" w:hint="eastAsia"/>
          <w:kern w:val="0"/>
          <w:szCs w:val="24"/>
        </w:rPr>
      </w:pPr>
    </w:p>
    <w:p w:rsidR="00962A37" w:rsidRDefault="00962A37" w:rsidP="008F2382">
      <w:pPr>
        <w:widowControl/>
        <w:rPr>
          <w:rFonts w:ascii="inherit" w:eastAsia="新細明體" w:hAnsi="inherit" w:cs="新細明體"/>
          <w:kern w:val="0"/>
          <w:szCs w:val="24"/>
        </w:rPr>
      </w:pPr>
      <w:r>
        <w:rPr>
          <w:rFonts w:ascii="inherit" w:eastAsia="新細明體" w:hAnsi="inherit" w:cs="新細明體"/>
          <w:noProof/>
          <w:kern w:val="0"/>
          <w:szCs w:val="24"/>
        </w:rPr>
        <w:drawing>
          <wp:inline distT="0" distB="0" distL="0" distR="0" wp14:anchorId="29E788DF" wp14:editId="327A8F55">
            <wp:extent cx="2865120" cy="1656608"/>
            <wp:effectExtent l="0" t="0" r="0" b="127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427986718_3270529803256251_809705499683438104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868" cy="167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A37" w:rsidRDefault="00962A37" w:rsidP="008F2382">
      <w:pPr>
        <w:widowControl/>
        <w:rPr>
          <w:rFonts w:ascii="inherit" w:eastAsia="新細明體" w:hAnsi="inherit" w:cs="新細明體"/>
          <w:kern w:val="0"/>
          <w:szCs w:val="24"/>
        </w:rPr>
      </w:pPr>
    </w:p>
    <w:p w:rsidR="00A65D90" w:rsidRDefault="00A65D90" w:rsidP="00A65D90">
      <w:pPr>
        <w:widowControl/>
        <w:ind w:firstLine="480"/>
        <w:rPr>
          <w:rFonts w:ascii="inherit" w:eastAsia="新細明體" w:hAnsi="inherit" w:cs="新細明體"/>
          <w:kern w:val="0"/>
          <w:szCs w:val="24"/>
        </w:rPr>
      </w:pPr>
      <w:r w:rsidRPr="005B0624">
        <w:rPr>
          <w:rFonts w:ascii="inherit" w:eastAsia="新細明體" w:hAnsi="inherit" w:cs="新細明體"/>
          <w:kern w:val="0"/>
          <w:szCs w:val="24"/>
        </w:rPr>
        <w:t>先進製程的競爭力大幅受限於良率</w:t>
      </w:r>
      <w:r w:rsidRPr="005B0624">
        <w:rPr>
          <w:rFonts w:ascii="inherit" w:eastAsia="新細明體" w:hAnsi="inherit" w:cs="新細明體"/>
          <w:kern w:val="0"/>
          <w:szCs w:val="24"/>
        </w:rPr>
        <w:t xml:space="preserve">, </w:t>
      </w:r>
      <w:r w:rsidRPr="005B0624">
        <w:rPr>
          <w:rFonts w:ascii="inherit" w:eastAsia="新細明體" w:hAnsi="inherit" w:cs="新細明體"/>
          <w:kern w:val="0"/>
          <w:szCs w:val="24"/>
        </w:rPr>
        <w:t>因此不容易增加產能</w:t>
      </w:r>
      <w:r w:rsidRPr="005B0624">
        <w:rPr>
          <w:rFonts w:ascii="inherit" w:eastAsia="新細明體" w:hAnsi="inherit" w:cs="新細明體"/>
          <w:kern w:val="0"/>
          <w:szCs w:val="24"/>
        </w:rPr>
        <w:t xml:space="preserve"> -- </w:t>
      </w:r>
      <w:r w:rsidRPr="005B0624">
        <w:rPr>
          <w:rFonts w:ascii="inherit" w:eastAsia="新細明體" w:hAnsi="inherit" w:cs="新細明體"/>
          <w:kern w:val="0"/>
          <w:szCs w:val="24"/>
        </w:rPr>
        <w:t>這正是當前半導體製造</w:t>
      </w:r>
      <w:r w:rsidRPr="005B0624">
        <w:rPr>
          <w:rFonts w:ascii="inherit" w:eastAsia="新細明體" w:hAnsi="inherit" w:cs="新細明體"/>
          <w:kern w:val="0"/>
          <w:szCs w:val="24"/>
        </w:rPr>
        <w:t xml:space="preserve">. </w:t>
      </w:r>
      <w:r w:rsidRPr="005B0624">
        <w:rPr>
          <w:rFonts w:ascii="inherit" w:eastAsia="新細明體" w:hAnsi="inherit" w:cs="新細明體"/>
          <w:kern w:val="0"/>
          <w:szCs w:val="24"/>
        </w:rPr>
        <w:t>關鍵元件</w:t>
      </w:r>
      <w:r w:rsidRPr="005B0624">
        <w:rPr>
          <w:rFonts w:ascii="inherit" w:eastAsia="新細明體" w:hAnsi="inherit" w:cs="新細明體"/>
          <w:kern w:val="0"/>
          <w:szCs w:val="24"/>
        </w:rPr>
        <w:t>(</w:t>
      </w:r>
      <w:r w:rsidRPr="005B0624">
        <w:rPr>
          <w:rFonts w:ascii="inherit" w:eastAsia="新細明體" w:hAnsi="inherit" w:cs="新細明體"/>
          <w:kern w:val="0"/>
          <w:szCs w:val="24"/>
        </w:rPr>
        <w:t>主要是</w:t>
      </w:r>
      <w:r w:rsidRPr="005B0624">
        <w:rPr>
          <w:rFonts w:ascii="inherit" w:eastAsia="新細明體" w:hAnsi="inherit" w:cs="新細明體"/>
          <w:kern w:val="0"/>
          <w:szCs w:val="24"/>
        </w:rPr>
        <w:t>CPU. GPU)</w:t>
      </w:r>
      <w:r w:rsidRPr="005B0624">
        <w:rPr>
          <w:rFonts w:ascii="inherit" w:eastAsia="新細明體" w:hAnsi="inherit" w:cs="新細明體"/>
          <w:kern w:val="0"/>
          <w:szCs w:val="24"/>
        </w:rPr>
        <w:t>的現狀</w:t>
      </w:r>
      <w:r w:rsidRPr="005B0624">
        <w:rPr>
          <w:rFonts w:ascii="inherit" w:eastAsia="新細明體" w:hAnsi="inherit" w:cs="新細明體"/>
          <w:kern w:val="0"/>
          <w:szCs w:val="24"/>
        </w:rPr>
        <w:t xml:space="preserve">: </w:t>
      </w:r>
      <w:r w:rsidRPr="005B0624">
        <w:rPr>
          <w:rFonts w:ascii="inherit" w:eastAsia="新細明體" w:hAnsi="inherit" w:cs="新細明體"/>
          <w:kern w:val="0"/>
          <w:szCs w:val="24"/>
        </w:rPr>
        <w:t>前者的先進製程幾乎由台積電所壟斷</w:t>
      </w:r>
      <w:r w:rsidRPr="005B0624">
        <w:rPr>
          <w:rFonts w:ascii="inherit" w:eastAsia="新細明體" w:hAnsi="inherit" w:cs="新細明體"/>
          <w:kern w:val="0"/>
          <w:szCs w:val="24"/>
        </w:rPr>
        <w:t xml:space="preserve">, </w:t>
      </w:r>
      <w:r w:rsidRPr="005B0624">
        <w:rPr>
          <w:rFonts w:ascii="inherit" w:eastAsia="新細明體" w:hAnsi="inherit" w:cs="新細明體"/>
          <w:kern w:val="0"/>
          <w:szCs w:val="24"/>
        </w:rPr>
        <w:t>後者則有</w:t>
      </w:r>
      <w:proofErr w:type="spellStart"/>
      <w:r>
        <w:rPr>
          <w:rFonts w:ascii="inherit" w:eastAsia="新細明體" w:hAnsi="inherit" w:cs="新細明體" w:hint="eastAsia"/>
          <w:kern w:val="0"/>
          <w:szCs w:val="24"/>
        </w:rPr>
        <w:t>n</w:t>
      </w:r>
      <w:r>
        <w:rPr>
          <w:rFonts w:ascii="inherit" w:eastAsia="新細明體" w:hAnsi="inherit" w:cs="新細明體"/>
          <w:kern w:val="0"/>
          <w:szCs w:val="24"/>
        </w:rPr>
        <w:t>Vidia</w:t>
      </w:r>
      <w:proofErr w:type="spellEnd"/>
      <w:r w:rsidRPr="005B0624">
        <w:rPr>
          <w:rFonts w:ascii="inherit" w:eastAsia="新細明體" w:hAnsi="inherit" w:cs="新細明體"/>
          <w:kern w:val="0"/>
          <w:szCs w:val="24"/>
        </w:rPr>
        <w:t>的</w:t>
      </w:r>
      <w:r w:rsidRPr="005B0624">
        <w:rPr>
          <w:rFonts w:ascii="inherit" w:eastAsia="新細明體" w:hAnsi="inherit" w:cs="新細明體"/>
          <w:kern w:val="0"/>
          <w:szCs w:val="24"/>
        </w:rPr>
        <w:t>H100</w:t>
      </w:r>
      <w:r w:rsidRPr="005B0624">
        <w:rPr>
          <w:rFonts w:ascii="inherit" w:eastAsia="新細明體" w:hAnsi="inherit" w:cs="新細明體"/>
          <w:kern w:val="0"/>
          <w:szCs w:val="24"/>
        </w:rPr>
        <w:t>售價</w:t>
      </w:r>
      <w:proofErr w:type="gramStart"/>
      <w:r>
        <w:rPr>
          <w:rFonts w:ascii="inherit" w:eastAsia="新細明體" w:hAnsi="inherit" w:cs="新細明體" w:hint="eastAsia"/>
          <w:kern w:val="0"/>
          <w:szCs w:val="24"/>
        </w:rPr>
        <w:t>飆</w:t>
      </w:r>
      <w:proofErr w:type="gramEnd"/>
      <w:r>
        <w:rPr>
          <w:rFonts w:ascii="inherit" w:eastAsia="新細明體" w:hAnsi="inherit" w:cs="新細明體" w:hint="eastAsia"/>
          <w:kern w:val="0"/>
          <w:szCs w:val="24"/>
        </w:rPr>
        <w:t>高成暴利</w:t>
      </w:r>
      <w:r>
        <w:rPr>
          <w:rFonts w:ascii="inherit" w:eastAsia="新細明體" w:hAnsi="inherit" w:cs="新細明體"/>
          <w:kern w:val="0"/>
          <w:szCs w:val="24"/>
        </w:rPr>
        <w:t>:</w:t>
      </w:r>
    </w:p>
    <w:p w:rsidR="00A65D90" w:rsidRDefault="00A65D90" w:rsidP="008F2382">
      <w:pPr>
        <w:widowControl/>
        <w:rPr>
          <w:rFonts w:ascii="inherit" w:eastAsia="新細明體" w:hAnsi="inherit" w:cs="新細明體" w:hint="eastAsia"/>
          <w:kern w:val="0"/>
          <w:szCs w:val="24"/>
        </w:rPr>
      </w:pPr>
    </w:p>
    <w:p w:rsidR="008F2382" w:rsidRPr="00962A37" w:rsidRDefault="00527F39" w:rsidP="00962A3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新細明體"/>
          <w:kern w:val="0"/>
          <w:szCs w:val="24"/>
        </w:rPr>
        <w:tab/>
      </w:r>
      <w:proofErr w:type="spellStart"/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nVidia</w:t>
      </w:r>
      <w:proofErr w:type="spellEnd"/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賣一個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H100s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GPU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模組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成本只要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3320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美元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官方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平均售價是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萬美元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但若為了搶貨而在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CDW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網站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卻要價高達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97835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美元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這</w:t>
      </w:r>
      <w:r w:rsidR="00337BC1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要超高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的獲利率</w:t>
      </w:r>
      <w:r w:rsidR="00337BC1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是否具可持續性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?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科技泡沫破裂前兆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通常是</w:t>
      </w:r>
      <w:proofErr w:type="gramStart"/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市場瘋搶缺貨</w:t>
      </w:r>
      <w:proofErr w:type="gramEnd"/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題材的產品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不管採用後是否提升生產力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527F3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或增加營收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,</w:t>
      </w:r>
    </w:p>
    <w:p w:rsidR="00527F39" w:rsidRDefault="00527F39" w:rsidP="00962A37">
      <w:pPr>
        <w:widowControl/>
        <w:rPr>
          <w:rFonts w:ascii="inherit" w:eastAsia="新細明體" w:hAnsi="inherit" w:cs="新細明體"/>
          <w:kern w:val="0"/>
          <w:szCs w:val="24"/>
        </w:rPr>
      </w:pPr>
    </w:p>
    <w:p w:rsidR="00962A37" w:rsidRDefault="00962A37" w:rsidP="00962A37">
      <w:pPr>
        <w:widowControl/>
        <w:jc w:val="center"/>
        <w:rPr>
          <w:rFonts w:ascii="inherit" w:eastAsia="新細明體" w:hAnsi="inherit" w:cs="新細明體"/>
          <w:kern w:val="0"/>
          <w:szCs w:val="24"/>
        </w:rPr>
      </w:pPr>
      <w:r>
        <w:rPr>
          <w:rFonts w:ascii="inherit" w:eastAsia="新細明體" w:hAnsi="inherit" w:cs="新細明體" w:hint="eastAsia"/>
          <w:noProof/>
          <w:kern w:val="0"/>
          <w:szCs w:val="24"/>
        </w:rPr>
        <w:drawing>
          <wp:inline distT="0" distB="0" distL="0" distR="0" wp14:anchorId="29F5D1D1">
            <wp:extent cx="3729886" cy="2113808"/>
            <wp:effectExtent l="0" t="0" r="4445" b="127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2" cy="214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A37" w:rsidRDefault="00962A37" w:rsidP="00962A37">
      <w:pPr>
        <w:widowControl/>
        <w:rPr>
          <w:rFonts w:ascii="inherit" w:eastAsia="新細明體" w:hAnsi="inherit" w:cs="新細明體" w:hint="eastAsia"/>
          <w:kern w:val="0"/>
          <w:szCs w:val="24"/>
        </w:rPr>
      </w:pPr>
    </w:p>
    <w:p w:rsidR="0070715E" w:rsidRPr="0070715E" w:rsidRDefault="0070715E" w:rsidP="0070715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新細明體" w:hAnsi="inherit" w:cs="新細明體"/>
          <w:kern w:val="0"/>
          <w:szCs w:val="24"/>
        </w:rPr>
        <w:tab/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當半導體製造進入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5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奈米以下的先進製程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, CMOS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須結合異質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(heterogeneous)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技術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/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材料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例如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, 2D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物質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) </w:t>
      </w:r>
      <w:proofErr w:type="gramStart"/>
      <w:r w:rsidR="00962A3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–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="00962A3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i.e.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CMOS+X --</w:t>
      </w:r>
      <w:r w:rsidR="00962A3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才能突破摩爾定律的限制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 DRAM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可透過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EUV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來光刻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NAND Flash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則是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Wafer-to-Wafer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混合鍵合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(Hybrid Bonding)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來製造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:</w:t>
      </w:r>
    </w:p>
    <w:p w:rsidR="0070715E" w:rsidRDefault="0070715E" w:rsidP="0070715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70715E" w:rsidRPr="0070715E" w:rsidRDefault="0070715E" w:rsidP="0070715E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但是當製程愈來愈精密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需以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ASML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High-NA EUV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來進行光刻時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記憶體應不是一個可以透過期貨來避險的標準型商品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(Commodity),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而是隨著晶片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(CPU. GPU,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或是採用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ARM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架構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的輝達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GH200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超級晶片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功能愈來愈強大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相對應的需要更微型化的製程而重新定位與訂價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</w:p>
    <w:p w:rsidR="0070715E" w:rsidRDefault="0070715E" w:rsidP="0070715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962A37" w:rsidRDefault="00962A37" w:rsidP="005F70F7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>
            <wp:extent cx="2689761" cy="1918970"/>
            <wp:effectExtent l="0" t="0" r="0" b="508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creen-Shot-2024-02-11-at-7.48.24-AM-768x58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813" cy="193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A37" w:rsidRDefault="00962A37" w:rsidP="0070715E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70715E" w:rsidRPr="0070715E" w:rsidRDefault="0070715E" w:rsidP="0070715E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記憶體產業趨勢正朝向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HBM(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高寬度記憶體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發展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預計可在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2026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年與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DRAM. GPU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堆疊在同一基板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(Substrate)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上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強化其運作效率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此外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,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DRAM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可透過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EUV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來光刻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NAND Flash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則是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Wafer-to-Wafer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混合鍵合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(Hybrid Bonding)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來製造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這樣的製程良率也連動到技術創新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</w:p>
    <w:p w:rsidR="00E17895" w:rsidRDefault="00E17895" w:rsidP="00CB63B4">
      <w:pPr>
        <w:rPr>
          <w:b/>
        </w:rPr>
      </w:pPr>
    </w:p>
    <w:p w:rsidR="0075343D" w:rsidRPr="0075343D" w:rsidRDefault="0075343D" w:rsidP="0075343D">
      <w:pPr>
        <w:widowControl/>
        <w:shd w:val="clear" w:color="auto" w:fill="FFFFFF"/>
        <w:ind w:firstLine="480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那麼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,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全球先進製程領導廠商的台積電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(TSMC), 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在晶圓代工的產業演化中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, 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如何掌握先機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?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台積電的四大策略核心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proofErr w:type="gramStart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專精化代工</w:t>
      </w:r>
      <w:proofErr w:type="gramEnd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擴大市場占有率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預付產能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虛擬晶圓廠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彼此之間需要共同存在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才能成功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(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陳東升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, 2</w:t>
      </w:r>
      <w:r w:rsidR="00CC4FEB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003)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要客戶預付產能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那就要在製程技術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生產</w:t>
      </w:r>
      <w:proofErr w:type="gramStart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良率給客戶</w:t>
      </w:r>
      <w:proofErr w:type="gramEnd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極大的信心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才願意建立夥伴是的長期合約關係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避開只透過市場機制所帶來的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交易成本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問題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Coase, 1937).</w:t>
      </w:r>
    </w:p>
    <w:p w:rsidR="0075343D" w:rsidRDefault="0075343D" w:rsidP="0075343D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CC4FEB" w:rsidRDefault="0075343D" w:rsidP="00CC4FEB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2000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年後期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我們見證了因雷曼兄弟倒閉而引爆的全球金融危機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更加強化了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輕資產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"(Lite Asset)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的商業模式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: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在半導體產業中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美國廠商主攻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IC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設計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歐洲廠商也逐漸放棄高資本密集的晶圓廠投資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proofErr w:type="gramStart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改攻利基</w:t>
      </w:r>
      <w:proofErr w:type="gramEnd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型的半導體零組件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進入</w:t>
      </w:r>
      <w:proofErr w:type="gramStart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2010</w:t>
      </w:r>
      <w:proofErr w:type="gramEnd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年代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proofErr w:type="gramStart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歐資半導體</w:t>
      </w:r>
      <w:proofErr w:type="gramEnd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業者</w:t>
      </w:r>
      <w:proofErr w:type="gramStart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因歐債危機</w:t>
      </w:r>
      <w:proofErr w:type="gramEnd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爆發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更進一步撤出晶片生產製造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同時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蘋果自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2007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年成功上市的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iPhone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系列產品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席捲智慧型手機市場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聚焦在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GPU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</w:t>
      </w:r>
      <w:proofErr w:type="spellStart"/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n</w:t>
      </w:r>
      <w:r w:rsidR="00CC4FEB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Vidia</w:t>
      </w:r>
      <w:proofErr w:type="spellEnd"/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lastRenderedPageBreak/>
        <w:t>HPC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AMD.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行動通訊的高通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...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等各領域的科技領導廠商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也加大其代工製造的委外訂單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最大受益者就是台積電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vs. </w:t>
      </w:r>
      <w:r w:rsidRPr="0075343D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三星</w:t>
      </w:r>
      <w:r w:rsidR="00CC4FEB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:</w:t>
      </w:r>
    </w:p>
    <w:p w:rsidR="00CC4FEB" w:rsidRDefault="00CC4FEB" w:rsidP="00CC4FEB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CC4FEB" w:rsidRPr="00CC4FEB" w:rsidRDefault="00CC4FEB" w:rsidP="00CC4FEB">
      <w:pPr>
        <w:widowControl/>
        <w:shd w:val="clear" w:color="auto" w:fill="FFFFFF"/>
        <w:ind w:firstLine="480"/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美國為主的科技領導廠商為了保有財務彈性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選擇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"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輕資產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"(Lite Asset)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的商業模式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--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聚焦在上游的技術研發與產品設計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以及下游的品牌及通路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半導體大廠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英特爾早期</w:t>
      </w:r>
      <w:proofErr w:type="gram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採</w:t>
      </w:r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IDM(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整合型設計製造廠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為強化財務彈性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而走向輕資產模式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故在先進製程大幅落後台積電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三星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  <w:t>Co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vid-19</w:t>
      </w:r>
      <w:r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  <w:t>期間的半導體全球大缺貨</w:t>
      </w:r>
      <w:r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  <w:t>美國政府及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英特爾</w:t>
      </w:r>
      <w:r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  <w:t>回應這樣的產業結構問題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積極以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"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晶圓代工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"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為新資本支出的核心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期盼能超車亞洲競爭者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:rsidR="00CC4FEB" w:rsidRPr="00CC4FEB" w:rsidRDefault="00CC4FEB" w:rsidP="00CC4FEB">
      <w:pPr>
        <w:widowControl/>
        <w:shd w:val="clear" w:color="auto" w:fill="FFFFFF"/>
        <w:jc w:val="right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7290250A" wp14:editId="1EE9F808">
            <wp:extent cx="3354705" cy="1686296"/>
            <wp:effectExtent l="0" t="0" r="0" b="9525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415564642_3245150829127482_190821668082086204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776" cy="171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F99" w:rsidRPr="00CC4FEB" w:rsidRDefault="00CC4FEB" w:rsidP="005F70F7">
      <w:pPr>
        <w:widowControl/>
        <w:shd w:val="clear" w:color="auto" w:fill="FFFFFF"/>
        <w:ind w:firstLine="480"/>
        <w:rPr>
          <w:rFonts w:hint="eastAsia"/>
          <w:b/>
        </w:rPr>
      </w:pPr>
      <w:r w:rsidRPr="00CC4FEB">
        <w:rPr>
          <w:rFonts w:hint="eastAsia"/>
        </w:rPr>
        <w:t>據此</w:t>
      </w:r>
      <w:r w:rsidRPr="00CC4FEB">
        <w:rPr>
          <w:rFonts w:hint="eastAsia"/>
        </w:rPr>
        <w:t xml:space="preserve">,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因應半導體通膨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主要受到先進製程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7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奈米以下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)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及關鍵元件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例如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, CPU. GPU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等晶片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製造成本</w:t>
      </w:r>
      <w:proofErr w:type="gramStart"/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飆升所</w:t>
      </w:r>
      <w:proofErr w:type="gramEnd"/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驅動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因晶片生產完成就成為庫存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故可考慮以先進製程的晶圓代工廠之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追蹤股票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(Tracking Stock).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或股票選擇權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(Stock Options)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為避險對象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前者是以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"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先進製程產能與良率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"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作為對應資產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(Underlying Asset),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也需立法通過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後者的避險效果稍差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因涉及到其他管理面因素</w:t>
      </w:r>
      <w:r w:rsidR="0070715E"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:</w:t>
      </w:r>
    </w:p>
    <w:p w:rsidR="00EA7F99" w:rsidRDefault="00EA7F99" w:rsidP="0070715E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70715E" w:rsidRDefault="0070715E" w:rsidP="0070715E">
      <w:pPr>
        <w:pStyle w:val="a5"/>
        <w:widowControl/>
        <w:numPr>
          <w:ilvl w:val="0"/>
          <w:numId w:val="3"/>
        </w:numPr>
        <w:shd w:val="clear" w:color="auto" w:fill="FFFFFF"/>
        <w:ind w:leftChars="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以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預包產能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預收貨款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的先進製程商業模式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例如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台積電的台灣廠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來看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這無避險需要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因為是由代工廠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vs.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客戶分攤資本投資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即使未來景氣不好客戶抽單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但是建廠的市場風險已分散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代工廠因新建廠房設備的折舊費用可計入現金流量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(EBITDA),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反而有利其因應營運期間景氣變動的韌性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(Resilience).</w:t>
      </w:r>
    </w:p>
    <w:p w:rsidR="00EA7F99" w:rsidRPr="0070715E" w:rsidRDefault="00EA7F99" w:rsidP="0070715E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8E53AD" w:rsidRDefault="0070715E" w:rsidP="008E53AD">
      <w:pPr>
        <w:pStyle w:val="a5"/>
        <w:widowControl/>
        <w:numPr>
          <w:ilvl w:val="0"/>
          <w:numId w:val="3"/>
        </w:numPr>
        <w:shd w:val="clear" w:color="auto" w:fill="FFFFFF"/>
        <w:ind w:leftChars="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即便是成熟製程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也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採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合資方式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例如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台積電的日本一廠是和豐田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 Denso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等日本客戶共同投資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台積電是大股東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--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日本政府給予過半的建廠補貼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也可將折舊費用轉成現金流量來增加應變彈性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</w:p>
    <w:p w:rsidR="008E53AD" w:rsidRDefault="008E53AD" w:rsidP="0070715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5F70F7" w:rsidRDefault="005F70F7" w:rsidP="005F70F7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台積電的契約型生產模式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(Contractual Manufacturing Services),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屬於</w:t>
      </w:r>
      <w:proofErr w:type="gramStart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外包型合作</w:t>
      </w:r>
      <w:proofErr w:type="gramEnd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策略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: </w:t>
      </w:r>
      <w:proofErr w:type="gramStart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預包產能</w:t>
      </w:r>
      <w:proofErr w:type="gramEnd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預付費用屬於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關係型契約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(Relational Contracting)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公司治理模式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對於資產專屬性高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交易頻率也高的業務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較為適用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但這又因專屬性又可分成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混和型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(Mixed) vs.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客制化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(Idiosyncratic),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而令其公司治理模式需進一步分成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雙邊監管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(Bilateral </w:t>
      </w:r>
      <w:proofErr w:type="spellStart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Goverance</w:t>
      </w:r>
      <w:proofErr w:type="spellEnd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) vs. </w:t>
      </w:r>
      <w:proofErr w:type="gramStart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內部化</w:t>
      </w:r>
      <w:proofErr w:type="gramEnd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(Unified Governance).</w:t>
      </w:r>
    </w:p>
    <w:p w:rsidR="005F70F7" w:rsidRPr="005F70F7" w:rsidRDefault="005F70F7" w:rsidP="005F70F7">
      <w:pPr>
        <w:widowControl/>
        <w:shd w:val="clear" w:color="auto" w:fill="FFFFFF"/>
        <w:ind w:left="480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EA7F99" w:rsidRDefault="00EA7F99" w:rsidP="005F70F7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>
            <wp:extent cx="3870960" cy="2178560"/>
            <wp:effectExtent l="0" t="0" r="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415514066_3245150692460829_6398667401046554628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035" cy="221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7F99" w:rsidRPr="00EA7F99" w:rsidRDefault="00EA7F99" w:rsidP="005F70F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EA7F99" w:rsidRPr="00EA7F99" w:rsidRDefault="0075343D" w:rsidP="00EA7F99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然而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, 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當這兩項因素至少其中之一不高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那麼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資產專屬性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高低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則會偏向選擇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市場機制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(Market Governance) vs. 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三方監管</w:t>
      </w:r>
      <w:r w:rsidR="00EA7F99"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(Trilateral Governance).</w:t>
      </w:r>
    </w:p>
    <w:p w:rsidR="00EA7F99" w:rsidRDefault="00EA7F99" w:rsidP="008E53AD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進一步來看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相較於</w:t>
      </w:r>
      <w:proofErr w:type="gramStart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採</w:t>
      </w:r>
      <w:proofErr w:type="gramEnd"/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輕資產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"(Light-Asset)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商業模式的客戶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台積電面對的報酬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--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風險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不對等之處在於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: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後者需要投資大量的資金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技術人才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供應鏈服務於沉沒成本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(Sunk Cost)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越來越高的先進製程晶圓廠上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且要在維持夠高的良率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(Yield Rate).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夠有競爭力的報價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才能獲得主要客戶願意預付費用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來包下新廠產能</w:t>
      </w:r>
      <w:r w:rsidRPr="00EA7F99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</w:p>
    <w:p w:rsidR="00EA7F99" w:rsidRDefault="00EA7F99" w:rsidP="0070715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8E53AD" w:rsidRDefault="008936B8" w:rsidP="008E53AD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  <w:t>此外</w:t>
      </w:r>
      <w:r>
        <w:rPr>
          <w:rFonts w:ascii="Segoe UI Historic" w:hAnsi="Segoe UI Historic" w:cs="Segoe UI Historic" w:hint="eastAsia"/>
          <w:color w:val="050505"/>
          <w:sz w:val="23"/>
          <w:szCs w:val="23"/>
          <w:shd w:val="clear" w:color="auto" w:fill="FFFFFF"/>
        </w:rPr>
        <w:t>,</w:t>
      </w:r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台積電面臨快速</w:t>
      </w:r>
      <w:proofErr w:type="gramStart"/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飆</w:t>
      </w:r>
      <w:proofErr w:type="gramEnd"/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升的地緣政治風險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而其沉沒性交易成本也隨著先進製程的廠房設備投資大增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這都將令其經營策略面對高難度的挑戰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--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晶圓代工製造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(IC Fab)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屬於契約型生產模式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--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這樣的長期契約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(Long-term Contracting),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現行的單一公司治理模式不合用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也不如交叉持股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(Cross-Shareholdings).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共同投資成立合資子公司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(Equity-based Joint Venture)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等之策略聯盟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能相對</w:t>
      </w:r>
      <w:proofErr w:type="gramStart"/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有效地控管</w:t>
      </w:r>
      <w:proofErr w:type="gramEnd"/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其建立</w:t>
      </w:r>
      <w:proofErr w:type="gramStart"/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在專產專屬</w:t>
      </w:r>
      <w:proofErr w:type="gramEnd"/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性的交易風險</w:t>
      </w:r>
      <w:r w:rsidR="008E53A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:rsidR="008E53AD" w:rsidRDefault="008E53AD" w:rsidP="0070715E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</w:p>
    <w:p w:rsidR="008936B8" w:rsidRDefault="008E53AD" w:rsidP="008936B8">
      <w:pPr>
        <w:widowControl/>
        <w:shd w:val="clear" w:color="auto" w:fill="FFFFFF"/>
        <w:jc w:val="center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5F6719B2" wp14:editId="1151A47F">
            <wp:extent cx="3698875" cy="1650670"/>
            <wp:effectExtent l="0" t="0" r="0" b="6985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415541083_3245154272460471_5403488204286059735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946" cy="167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6B8" w:rsidRPr="008E53AD" w:rsidRDefault="008936B8" w:rsidP="0070715E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:rsidR="0070715E" w:rsidRPr="0070715E" w:rsidRDefault="0070715E" w:rsidP="0070715E">
      <w:pPr>
        <w:widowControl/>
        <w:shd w:val="clear" w:color="auto" w:fill="FFFFFF"/>
        <w:ind w:firstLine="48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總結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在股權結構與商業模式的保護下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一座先進製程晶圓代工廠只要新建完成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良率不是問題時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都具有因應半導體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通膨乍起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的避險功能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對投資者而言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以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晶圓代工產能與良率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"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作為對應資產的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追蹤股票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為避險工具是首選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其次是股票選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lastRenderedPageBreak/>
        <w:t>擇權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最後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政府所應做的是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就晶圓製造過程中的耗電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耗水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. 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排碳等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環保面問題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提出積極的產業政策來協助轉型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; </w:t>
      </w:r>
      <w:proofErr w:type="gramStart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此外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,</w:t>
      </w:r>
      <w:proofErr w:type="gramEnd"/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晶圓製程加大導入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AI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功能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, 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以有效降低員工血汗工作的問題</w:t>
      </w:r>
      <w:r w:rsidRPr="0070715E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.</w:t>
      </w:r>
    </w:p>
    <w:p w:rsidR="0070715E" w:rsidRPr="0070715E" w:rsidRDefault="0070715E" w:rsidP="00CB63B4">
      <w:pPr>
        <w:rPr>
          <w:rFonts w:hint="eastAsia"/>
          <w:b/>
        </w:rPr>
      </w:pPr>
    </w:p>
    <w:sectPr w:rsidR="0070715E" w:rsidRPr="0070715E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4FB" w:rsidRDefault="001314FB" w:rsidP="008C3372">
      <w:r>
        <w:separator/>
      </w:r>
    </w:p>
  </w:endnote>
  <w:endnote w:type="continuationSeparator" w:id="0">
    <w:p w:rsidR="001314FB" w:rsidRDefault="001314FB" w:rsidP="008C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0010383"/>
      <w:docPartObj>
        <w:docPartGallery w:val="Page Numbers (Bottom of Page)"/>
        <w:docPartUnique/>
      </w:docPartObj>
    </w:sdtPr>
    <w:sdtContent>
      <w:p w:rsidR="008C3372" w:rsidRDefault="008C33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8C3372" w:rsidRDefault="008C33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4FB" w:rsidRDefault="001314FB" w:rsidP="008C3372">
      <w:r>
        <w:separator/>
      </w:r>
    </w:p>
  </w:footnote>
  <w:footnote w:type="continuationSeparator" w:id="0">
    <w:p w:rsidR="001314FB" w:rsidRDefault="001314FB" w:rsidP="008C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388"/>
    <w:multiLevelType w:val="hybridMultilevel"/>
    <w:tmpl w:val="84A64A00"/>
    <w:lvl w:ilvl="0" w:tplc="47A4D770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1757BF"/>
    <w:multiLevelType w:val="hybridMultilevel"/>
    <w:tmpl w:val="D638ADE4"/>
    <w:lvl w:ilvl="0" w:tplc="9D122A8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96C6DE0"/>
    <w:multiLevelType w:val="hybridMultilevel"/>
    <w:tmpl w:val="FBAA63F8"/>
    <w:lvl w:ilvl="0" w:tplc="229292BE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F2"/>
    <w:rsid w:val="00055AA2"/>
    <w:rsid w:val="000E77C5"/>
    <w:rsid w:val="001314FB"/>
    <w:rsid w:val="001A18D6"/>
    <w:rsid w:val="00220DB2"/>
    <w:rsid w:val="002503D3"/>
    <w:rsid w:val="00282392"/>
    <w:rsid w:val="00285438"/>
    <w:rsid w:val="002E28E1"/>
    <w:rsid w:val="002E43E3"/>
    <w:rsid w:val="0032022C"/>
    <w:rsid w:val="00337BC1"/>
    <w:rsid w:val="00343675"/>
    <w:rsid w:val="00357FDF"/>
    <w:rsid w:val="003B060E"/>
    <w:rsid w:val="003E63CC"/>
    <w:rsid w:val="00426BA8"/>
    <w:rsid w:val="00454458"/>
    <w:rsid w:val="004B067B"/>
    <w:rsid w:val="004E1F0C"/>
    <w:rsid w:val="0052381C"/>
    <w:rsid w:val="00523A4A"/>
    <w:rsid w:val="00527F39"/>
    <w:rsid w:val="005B0624"/>
    <w:rsid w:val="005F1FE5"/>
    <w:rsid w:val="005F70F7"/>
    <w:rsid w:val="00671EE5"/>
    <w:rsid w:val="006A15F2"/>
    <w:rsid w:val="006D4E89"/>
    <w:rsid w:val="006F59CE"/>
    <w:rsid w:val="0070715E"/>
    <w:rsid w:val="00715889"/>
    <w:rsid w:val="00724CC2"/>
    <w:rsid w:val="0075343D"/>
    <w:rsid w:val="00770CD5"/>
    <w:rsid w:val="00787602"/>
    <w:rsid w:val="007D5C44"/>
    <w:rsid w:val="007F4CB8"/>
    <w:rsid w:val="00810AE6"/>
    <w:rsid w:val="00821110"/>
    <w:rsid w:val="0083753C"/>
    <w:rsid w:val="0086671A"/>
    <w:rsid w:val="00883967"/>
    <w:rsid w:val="008936B8"/>
    <w:rsid w:val="008A4B0E"/>
    <w:rsid w:val="008C3372"/>
    <w:rsid w:val="008E53AD"/>
    <w:rsid w:val="008F2382"/>
    <w:rsid w:val="00962A37"/>
    <w:rsid w:val="00976E81"/>
    <w:rsid w:val="009D4C64"/>
    <w:rsid w:val="009D6278"/>
    <w:rsid w:val="009F2809"/>
    <w:rsid w:val="00A47DC9"/>
    <w:rsid w:val="00A65D90"/>
    <w:rsid w:val="00AD2151"/>
    <w:rsid w:val="00AE2590"/>
    <w:rsid w:val="00BB4815"/>
    <w:rsid w:val="00BF6169"/>
    <w:rsid w:val="00C13510"/>
    <w:rsid w:val="00C46676"/>
    <w:rsid w:val="00C725EA"/>
    <w:rsid w:val="00C7297E"/>
    <w:rsid w:val="00C874C0"/>
    <w:rsid w:val="00CB63B4"/>
    <w:rsid w:val="00CC4FEB"/>
    <w:rsid w:val="00D318B1"/>
    <w:rsid w:val="00D42E66"/>
    <w:rsid w:val="00D70CA6"/>
    <w:rsid w:val="00DB749E"/>
    <w:rsid w:val="00DE546B"/>
    <w:rsid w:val="00E17895"/>
    <w:rsid w:val="00E514EA"/>
    <w:rsid w:val="00E928FE"/>
    <w:rsid w:val="00EA07F7"/>
    <w:rsid w:val="00EA2B43"/>
    <w:rsid w:val="00EA6F2B"/>
    <w:rsid w:val="00EA7F99"/>
    <w:rsid w:val="00ED59A0"/>
    <w:rsid w:val="00F44DF0"/>
    <w:rsid w:val="00F630E5"/>
    <w:rsid w:val="00F737C0"/>
    <w:rsid w:val="00F766E6"/>
    <w:rsid w:val="00F8155E"/>
    <w:rsid w:val="00F850AC"/>
    <w:rsid w:val="00FD175D"/>
    <w:rsid w:val="00FE1BD9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16A9"/>
  <w15:chartTrackingRefBased/>
  <w15:docId w15:val="{42D264DD-945E-4F7B-A3CD-24715952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15F2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A15F2"/>
  </w:style>
  <w:style w:type="paragraph" w:styleId="a5">
    <w:name w:val="List Paragraph"/>
    <w:basedOn w:val="a"/>
    <w:uiPriority w:val="34"/>
    <w:qFormat/>
    <w:rsid w:val="005F1FE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C3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337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3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3372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B0624"/>
    <w:rPr>
      <w:color w:val="0000FF"/>
      <w:u w:val="single"/>
    </w:rPr>
  </w:style>
  <w:style w:type="character" w:customStyle="1" w:styleId="xt0b8zv">
    <w:name w:val="xt0b8zv"/>
    <w:basedOn w:val="a0"/>
    <w:rsid w:val="005B0624"/>
  </w:style>
  <w:style w:type="character" w:customStyle="1" w:styleId="x1e558r4">
    <w:name w:val="x1e558r4"/>
    <w:basedOn w:val="a0"/>
    <w:rsid w:val="005B0624"/>
  </w:style>
  <w:style w:type="paragraph" w:styleId="Web">
    <w:name w:val="Normal (Web)"/>
    <w:basedOn w:val="a"/>
    <w:uiPriority w:val="99"/>
    <w:unhideWhenUsed/>
    <w:rsid w:val="009F2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54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7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5097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79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937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97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5345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700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9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068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4941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763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1412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9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8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7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3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4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8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5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3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1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6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8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92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0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13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3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283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9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0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30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88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5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1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9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6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48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9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4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7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2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Jen</dc:creator>
  <cp:keywords/>
  <dc:description/>
  <cp:lastModifiedBy>Hong Jen</cp:lastModifiedBy>
  <cp:revision>11</cp:revision>
  <dcterms:created xsi:type="dcterms:W3CDTF">2024-04-14T02:11:00Z</dcterms:created>
  <dcterms:modified xsi:type="dcterms:W3CDTF">2024-04-14T03:20:00Z</dcterms:modified>
</cp:coreProperties>
</file>